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sz w:val="40"/>
          <w:szCs w:val="40"/>
        </w:rPr>
      </w:pPr>
      <w:bookmarkStart w:id="4" w:name="_GoBack"/>
      <w:r>
        <w:rPr>
          <w:rFonts w:hint="eastAsia" w:ascii="方正小标宋简体" w:hAnsi="Calibri" w:eastAsia="方正小标宋简体" w:cs="Times New Roman"/>
          <w:sz w:val="40"/>
          <w:szCs w:val="40"/>
        </w:rPr>
        <w:t>绩效薪酬管理</w:t>
      </w:r>
      <w:r>
        <w:rPr>
          <w:rFonts w:hint="eastAsia" w:ascii="方正小标宋简体" w:eastAsia="方正小标宋简体"/>
          <w:sz w:val="40"/>
          <w:szCs w:val="40"/>
        </w:rPr>
        <w:t>专项职业能力考核规范</w:t>
      </w:r>
      <w:bookmarkEnd w:id="4"/>
    </w:p>
    <w:p>
      <w:pPr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0" w:name="_Toc8134_WPSOffice_Level1"/>
      <w:r>
        <w:rPr>
          <w:rFonts w:hint="eastAsia" w:ascii="黑体" w:hAnsi="黑体" w:eastAsia="黑体" w:cs="黑体"/>
          <w:kern w:val="0"/>
          <w:sz w:val="30"/>
          <w:szCs w:val="30"/>
        </w:rPr>
        <w:t>一、绩效薪酬管理的定义</w:t>
      </w:r>
      <w:bookmarkEnd w:id="0"/>
    </w:p>
    <w:p>
      <w:pPr>
        <w:ind w:firstLine="600" w:firstLineChars="200"/>
        <w:rPr>
          <w:rFonts w:ascii="仿宋_GB2312" w:hAnsi="Calibri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根据企业的实际情况来制定有效的工作方法和工作制度，使工作绩效目标更合理，薪酬体系管理更完整的企业人力资源管理工作。</w:t>
      </w:r>
    </w:p>
    <w:p>
      <w:pPr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1" w:name="_Toc4228_WPSOffice_Level1"/>
      <w:r>
        <w:rPr>
          <w:rFonts w:hint="eastAsia" w:ascii="黑体" w:hAnsi="黑体" w:eastAsia="黑体" w:cs="黑体"/>
          <w:kern w:val="0"/>
          <w:sz w:val="30"/>
          <w:szCs w:val="30"/>
        </w:rPr>
        <w:t>二、适用对象</w:t>
      </w:r>
      <w:bookmarkEnd w:id="1"/>
    </w:p>
    <w:p>
      <w:pPr>
        <w:ind w:firstLine="600" w:firstLineChars="200"/>
        <w:rPr>
          <w:rFonts w:ascii="仿宋_GB2312" w:hAnsi="Calibri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从事绩效薪酬方向的政府事业机构人员，企业管理人员及致力于从事该行业的各界人士。</w:t>
      </w:r>
    </w:p>
    <w:p>
      <w:pPr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2" w:name="_Toc10068_WPSOffice_Level1"/>
      <w:r>
        <w:rPr>
          <w:rFonts w:hint="eastAsia" w:ascii="黑体" w:hAnsi="黑体" w:eastAsia="黑体" w:cs="黑体"/>
          <w:kern w:val="0"/>
          <w:sz w:val="30"/>
          <w:szCs w:val="30"/>
        </w:rPr>
        <w:t>三、能力标准与考核内容</w:t>
      </w:r>
      <w:bookmarkEnd w:id="2"/>
    </w:p>
    <w:tbl>
      <w:tblPr>
        <w:tblStyle w:val="2"/>
        <w:tblpPr w:leftFromText="180" w:rightFromText="180" w:vertAnchor="text" w:horzAnchor="page" w:tblpX="1907" w:tblpY="159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70"/>
        <w:gridCol w:w="3300"/>
        <w:gridCol w:w="1485"/>
      </w:tblGrid>
      <w:tr>
        <w:trPr>
          <w:trHeight w:val="574" w:hRule="atLeast"/>
        </w:trPr>
        <w:tc>
          <w:tcPr>
            <w:tcW w:w="831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能力名称：绩效薪酬管理        职业领域：企业人力资源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管理师</w:t>
            </w:r>
          </w:p>
        </w:tc>
      </w:tr>
      <w:tr>
        <w:trPr>
          <w:cantSplit/>
          <w:trHeight w:val="574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工作任务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考核内容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相关知识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考核比重</w:t>
            </w:r>
          </w:p>
        </w:tc>
      </w:tr>
      <w:tr>
        <w:trPr>
          <w:cantSplit/>
          <w:trHeight w:val="2049" w:hRule="atLeast"/>
        </w:trPr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（一）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1.绩效管理体系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2.制定关键绩效指标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3.平衡卡计分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4.员工绩效考核与应用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5.绩效考核体系实施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1.熟悉人力资源管理基础知识及流程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2.熟悉薪酬管理知识及流程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3.熟悉绩效管理知识及流程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4.熟悉绩效考核知识及流程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5.熟练地人际交往能力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6.熟悉本企业的价值流程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30％</w:t>
            </w:r>
          </w:p>
        </w:tc>
      </w:tr>
      <w:tr>
        <w:trPr>
          <w:cantSplit/>
          <w:trHeight w:val="1914" w:hRule="atLeast"/>
        </w:trPr>
        <w:tc>
          <w:tcPr>
            <w:tcW w:w="13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（二）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</w:t>
            </w:r>
          </w:p>
        </w:tc>
        <w:tc>
          <w:tcPr>
            <w:tcW w:w="21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1.薪酬管理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2.岗位评估步骤与方法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3.薪酬方案的分类应用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1.薪酬管理知识框架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2.薪酬管理的定位和原则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3.薪酬市场调查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50％</w:t>
            </w:r>
          </w:p>
        </w:tc>
      </w:tr>
      <w:tr>
        <w:trPr>
          <w:cantSplit/>
          <w:trHeight w:val="1899" w:hRule="atLeast"/>
        </w:trPr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薪酬体系及实施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1.薪酬结构设置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2.薪酬调整管理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3.薪酬管理的具体实施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5.工资体系设计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6.薪酬体系有效性评估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7.年度薪酬调整实施方案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8.绩效与薪酬相关的法律知识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20%</w:t>
            </w:r>
          </w:p>
        </w:tc>
      </w:tr>
    </w:tbl>
    <w:p>
      <w:pPr>
        <w:rPr>
          <w:rFonts w:ascii="黑体" w:hAnsi="黑体" w:eastAsia="黑体" w:cs="黑体"/>
          <w:b w:val="0"/>
          <w:bCs w:val="0"/>
          <w:kern w:val="0"/>
          <w:sz w:val="30"/>
          <w:szCs w:val="30"/>
        </w:rPr>
      </w:pPr>
      <w:bookmarkStart w:id="3" w:name="_Toc27769_WPSOffice_Level1"/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四、考核要求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（一）绩效薪酬管理应具备下列条件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达到法定劳动年龄，具有相应技能的劳动者均可申报</w:t>
      </w:r>
      <w:r>
        <w:rPr>
          <w:rFonts w:hint="eastAsia" w:ascii="宋体" w:hAnsi="宋体" w:cs="Lingoes Unicode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（二）考评员构成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ascii="仿宋_GB2312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考评员应具有本职业（工种）或相近职业（工种）的从业经历，并掌握必要的职业技能理论、技术和方法，熟悉职业技能考评的有关法律、法规和政策</w:t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（三）考核方式与考核时间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0"/>
          <w:sz w:val="30"/>
          <w:szCs w:val="30"/>
          <w:lang w:val="en-US" w:eastAsia="zh-CN"/>
        </w:rPr>
        <w:t>采用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理论知识考试。理论知识考试采用闭卷笔试形式，成绩皆达60分及以上者为合格。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br w:type="textWrapping"/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t>理论知识考试考评人员与考生配比为1:15，每个标准教室不得少于2名考评人员；专业能力考核考评员与考生的配比1:5,且不少于3名考评员；理论知识考试时间不少于90min。 学员经考核合格后，即可以申请获得绩效薪酬管理专项能力证书。</w:t>
      </w:r>
      <w:r>
        <w:rPr>
          <w:rFonts w:hint="eastAsia" w:ascii="仿宋_GB2312" w:hAnsi="Calibri" w:eastAsia="仿宋_GB2312" w:cs="Times New Roman"/>
          <w:kern w:val="0"/>
          <w:sz w:val="30"/>
          <w:szCs w:val="30"/>
        </w:rPr>
        <w:br w:type="textWrapping"/>
      </w:r>
      <w:r>
        <w:rPr>
          <w:rFonts w:hint="eastAsia" w:ascii="仿宋_GB2312" w:hAnsi="Calibri" w:eastAsia="仿宋_GB2312" w:cs="Times New Roman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kern w:val="0"/>
          <w:sz w:val="30"/>
          <w:szCs w:val="30"/>
        </w:rPr>
        <w:t>（四）考核场地设备要求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在考场位置交通便利、周围环境干扰较少的、采光良好不小于60㎡的标准教室里进行。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ngoes Unicode">
    <w:altName w:val="苹方-简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7DBC"/>
    <w:rsid w:val="EEBF15DF"/>
    <w:rsid w:val="FF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2024-09-12T11:58:00Z</dcterms:created>
  <dc:creator>张君寒</dc:creator>
  <cp:lastModifiedBy>张君寒</cp:lastModifiedBy>
  <dcterms:modified xsi:type="dcterms:W3CDTF">2024-09-12T12:02:17Z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0488CDABFAC056CDC967E266955127CA_43</vt:lpwstr>
  </property>
</Properties>
</file>